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4C7A977F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A14103">
        <w:rPr>
          <w:rFonts w:ascii="Arial Narrow" w:hAnsi="Arial Narrow"/>
          <w:szCs w:val="24"/>
        </w:rPr>
        <w:t>P</w:t>
      </w:r>
      <w:r w:rsidR="008845F6">
        <w:rPr>
          <w:rFonts w:ascii="Arial Narrow" w:hAnsi="Arial Narrow"/>
          <w:szCs w:val="24"/>
        </w:rPr>
        <w:t>rovision</w:t>
      </w:r>
      <w:r w:rsidR="00A14103">
        <w:rPr>
          <w:rFonts w:ascii="Arial Narrow" w:hAnsi="Arial Narrow"/>
          <w:szCs w:val="24"/>
        </w:rPr>
        <w:t xml:space="preserve"> of Quantum </w:t>
      </w:r>
      <w:r w:rsidR="00C607B0">
        <w:rPr>
          <w:rFonts w:ascii="Arial Narrow" w:hAnsi="Arial Narrow"/>
          <w:szCs w:val="24"/>
        </w:rPr>
        <w:t>S</w:t>
      </w:r>
      <w:r w:rsidR="00A14103">
        <w:rPr>
          <w:rFonts w:ascii="Arial Narrow" w:hAnsi="Arial Narrow"/>
          <w:szCs w:val="24"/>
        </w:rPr>
        <w:t xml:space="preserve">torage </w:t>
      </w:r>
      <w:r w:rsidR="00C607B0">
        <w:rPr>
          <w:rFonts w:ascii="Arial Narrow" w:hAnsi="Arial Narrow"/>
          <w:szCs w:val="24"/>
        </w:rPr>
        <w:t>E</w:t>
      </w:r>
      <w:r w:rsidR="00A14103">
        <w:rPr>
          <w:rFonts w:ascii="Arial Narrow" w:hAnsi="Arial Narrow"/>
          <w:szCs w:val="24"/>
        </w:rPr>
        <w:t>quipment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3D03AD85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A14103">
        <w:rPr>
          <w:rFonts w:ascii="Arial Narrow" w:hAnsi="Arial Narrow"/>
          <w:szCs w:val="24"/>
          <w:u w:val="none"/>
        </w:rPr>
        <w:t>22</w:t>
      </w:r>
      <w:r w:rsidRPr="000A28B4">
        <w:rPr>
          <w:rFonts w:ascii="Arial Narrow" w:hAnsi="Arial Narrow"/>
          <w:szCs w:val="24"/>
          <w:u w:val="none"/>
        </w:rPr>
        <w:t xml:space="preserve"> </w:t>
      </w:r>
      <w:r w:rsidR="00A14103">
        <w:rPr>
          <w:rFonts w:ascii="Arial Narrow" w:hAnsi="Arial Narrow"/>
          <w:szCs w:val="24"/>
          <w:u w:val="none"/>
        </w:rPr>
        <w:t>March</w:t>
      </w:r>
      <w:r w:rsidR="00437162">
        <w:rPr>
          <w:rFonts w:ascii="Arial Narrow" w:hAnsi="Arial Narrow"/>
          <w:szCs w:val="24"/>
          <w:u w:val="none"/>
        </w:rPr>
        <w:t xml:space="preserve"> </w:t>
      </w:r>
      <w:r w:rsidR="00A36E13">
        <w:rPr>
          <w:rFonts w:ascii="Arial Narrow" w:hAnsi="Arial Narrow"/>
          <w:szCs w:val="24"/>
          <w:u w:val="none"/>
        </w:rPr>
        <w:t>2</w:t>
      </w:r>
      <w:r w:rsidR="00752E95">
        <w:rPr>
          <w:rFonts w:ascii="Arial Narrow" w:hAnsi="Arial Narrow"/>
          <w:szCs w:val="24"/>
          <w:u w:val="none"/>
        </w:rPr>
        <w:t>0</w:t>
      </w:r>
      <w:r w:rsidR="00AA76DD">
        <w:rPr>
          <w:rFonts w:ascii="Arial Narrow" w:hAnsi="Arial Narrow"/>
          <w:szCs w:val="24"/>
          <w:u w:val="none"/>
        </w:rPr>
        <w:t>2</w:t>
      </w:r>
      <w:r w:rsidR="00C97DD4">
        <w:rPr>
          <w:rFonts w:ascii="Arial Narrow" w:hAnsi="Arial Narrow"/>
          <w:szCs w:val="24"/>
          <w:u w:val="none"/>
        </w:rPr>
        <w:t>3</w:t>
      </w:r>
      <w:r w:rsidRPr="000A28B4">
        <w:rPr>
          <w:rFonts w:ascii="Arial Narrow" w:hAnsi="Arial Narrow"/>
          <w:szCs w:val="24"/>
          <w:u w:val="none"/>
        </w:rPr>
        <w:tab/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1897E6EE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C97DD4">
        <w:rPr>
          <w:rFonts w:ascii="Arial Narrow" w:hAnsi="Arial Narrow"/>
          <w:szCs w:val="24"/>
          <w:u w:val="none"/>
        </w:rPr>
        <w:t>2</w:t>
      </w:r>
      <w:r w:rsidR="00A14103">
        <w:rPr>
          <w:rFonts w:ascii="Arial Narrow" w:hAnsi="Arial Narrow"/>
          <w:szCs w:val="24"/>
          <w:u w:val="none"/>
        </w:rPr>
        <w:t>9</w:t>
      </w:r>
      <w:r w:rsidR="009205B6">
        <w:rPr>
          <w:rFonts w:ascii="Arial Narrow" w:hAnsi="Arial Narrow"/>
          <w:szCs w:val="24"/>
          <w:u w:val="none"/>
        </w:rPr>
        <w:t xml:space="preserve"> </w:t>
      </w:r>
      <w:r w:rsidR="00A14103">
        <w:rPr>
          <w:rFonts w:ascii="Arial Narrow" w:hAnsi="Arial Narrow"/>
          <w:szCs w:val="24"/>
          <w:u w:val="none"/>
        </w:rPr>
        <w:t>March</w:t>
      </w:r>
      <w:r w:rsidR="009205B6">
        <w:rPr>
          <w:rFonts w:ascii="Arial Narrow" w:hAnsi="Arial Narrow"/>
          <w:szCs w:val="24"/>
          <w:u w:val="none"/>
        </w:rPr>
        <w:t xml:space="preserve"> 202</w:t>
      </w:r>
      <w:r w:rsidR="00C97DD4">
        <w:rPr>
          <w:rFonts w:ascii="Arial Narrow" w:hAnsi="Arial Narrow"/>
          <w:szCs w:val="24"/>
          <w:u w:val="none"/>
        </w:rPr>
        <w:t>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22C78883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1074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77777777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>, Tender 2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77777777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Tender.2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5BA2D72E" w14:textId="6A7FAFE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C607B0">
        <w:rPr>
          <w:rFonts w:ascii="Arial Narrow" w:hAnsi="Arial Narrow"/>
          <w:b/>
          <w:spacing w:val="-2"/>
          <w:u w:val="single"/>
        </w:rPr>
        <w:t>Quantum Storage Equipment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14:paraId="1125DE20" w14:textId="77777777" w:rsidR="001C7F4E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74C72001" w14:textId="77777777" w:rsidR="00476BFD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*******************</w:t>
      </w:r>
    </w:p>
    <w:p w14:paraId="1623B0EA" w14:textId="1612BFD3" w:rsidR="00E92BF1" w:rsidRDefault="00476BFD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  <w:r w:rsidRPr="006F6161">
        <w:rPr>
          <w:rFonts w:ascii="Arial Narrow" w:hAnsi="Arial Narrow"/>
          <w:b/>
          <w:spacing w:val="-2"/>
          <w:u w:val="single"/>
        </w:rPr>
        <w:t>Brief Scope of Work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r w:rsidR="00224F1E">
        <w:rPr>
          <w:rFonts w:ascii="Arial Narrow" w:hAnsi="Arial Narrow"/>
          <w:b/>
          <w:spacing w:val="-2"/>
          <w:u w:val="single"/>
        </w:rPr>
        <w:t>for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bookmarkStart w:id="0" w:name="_Toc94173070"/>
      <w:r w:rsidR="008845F6">
        <w:rPr>
          <w:rFonts w:ascii="Arial Narrow" w:hAnsi="Arial Narrow"/>
          <w:b/>
          <w:spacing w:val="-2"/>
          <w:u w:val="single"/>
        </w:rPr>
        <w:t xml:space="preserve">Provision of </w:t>
      </w:r>
      <w:r w:rsidR="00C607B0">
        <w:rPr>
          <w:rFonts w:ascii="Arial Narrow" w:hAnsi="Arial Narrow"/>
          <w:b/>
          <w:spacing w:val="-2"/>
          <w:u w:val="single"/>
        </w:rPr>
        <w:t>Quantum Storage Equipment</w:t>
      </w:r>
    </w:p>
    <w:p w14:paraId="7246BFDF" w14:textId="77777777" w:rsidR="00E92BF1" w:rsidRDefault="00E92BF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</w:p>
    <w:p w14:paraId="1F3BB710" w14:textId="77777777" w:rsidR="00D80A81" w:rsidRPr="00E92BF1" w:rsidRDefault="00D80A8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pacing w:val="-2"/>
          <w:u w:val="single"/>
        </w:rPr>
      </w:pPr>
      <w:r w:rsidRPr="00E92BF1">
        <w:rPr>
          <w:rFonts w:ascii="Arial Narrow" w:hAnsi="Arial Narrow"/>
          <w:b/>
          <w:bCs/>
          <w:spacing w:val="-2"/>
        </w:rPr>
        <w:t>Background</w:t>
      </w:r>
      <w:bookmarkEnd w:id="0"/>
    </w:p>
    <w:p w14:paraId="35FAA9F8" w14:textId="7C2A0100" w:rsidR="008845F6" w:rsidRPr="008845F6" w:rsidRDefault="008845F6" w:rsidP="008845F6">
      <w:pPr>
        <w:rPr>
          <w:rFonts w:ascii="Arial Narrow" w:hAnsi="Arial Narrow"/>
          <w:spacing w:val="-2"/>
        </w:rPr>
      </w:pPr>
      <w:r w:rsidRPr="008845F6">
        <w:rPr>
          <w:rFonts w:ascii="Arial Narrow" w:hAnsi="Arial Narrow"/>
          <w:spacing w:val="-2"/>
        </w:rPr>
        <w:t xml:space="preserve">Certain parts of the AV storage infrastructure system are out of warranty and are proving unreliable. The ICC therefore wishes to replace these parts. </w:t>
      </w:r>
      <w:r w:rsidRPr="008845F6">
        <w:rPr>
          <w:rFonts w:ascii="Arial Narrow" w:hAnsi="Arial Narrow"/>
          <w:spacing w:val="-2"/>
        </w:rPr>
        <w:t xml:space="preserve">The vendors will be requested to </w:t>
      </w:r>
      <w:r w:rsidRPr="008845F6">
        <w:rPr>
          <w:rFonts w:ascii="Arial Narrow" w:hAnsi="Arial Narrow"/>
          <w:spacing w:val="-2"/>
        </w:rPr>
        <w:t>provide quotes for the items listed below</w:t>
      </w:r>
      <w:r>
        <w:rPr>
          <w:rFonts w:ascii="Arial Narrow" w:hAnsi="Arial Narrow"/>
          <w:spacing w:val="-2"/>
        </w:rPr>
        <w:t>.</w:t>
      </w:r>
    </w:p>
    <w:p w14:paraId="56190095" w14:textId="77777777" w:rsidR="00E92BF1" w:rsidRPr="00E92BF1" w:rsidRDefault="00E92BF1" w:rsidP="00D80A81">
      <w:pPr>
        <w:rPr>
          <w:rFonts w:ascii="Arial Narrow" w:hAnsi="Arial Narrow"/>
          <w:spacing w:val="-2"/>
        </w:rPr>
      </w:pPr>
    </w:p>
    <w:p w14:paraId="3204A1A9" w14:textId="77777777" w:rsidR="008845F6" w:rsidRPr="008845F6" w:rsidRDefault="008845F6" w:rsidP="008845F6">
      <w:pPr>
        <w:rPr>
          <w:rFonts w:ascii="Arial Narrow" w:hAnsi="Arial Narrow"/>
          <w:spacing w:val="-2"/>
        </w:rPr>
      </w:pPr>
      <w:r w:rsidRPr="008845F6">
        <w:rPr>
          <w:rFonts w:ascii="Arial Narrow" w:hAnsi="Arial Narrow"/>
          <w:spacing w:val="-2"/>
        </w:rPr>
        <w:t>Notes</w:t>
      </w:r>
    </w:p>
    <w:p w14:paraId="6FDCEB97" w14:textId="77777777" w:rsidR="008845F6" w:rsidRPr="008845F6" w:rsidRDefault="008845F6" w:rsidP="008845F6">
      <w:pPr>
        <w:rPr>
          <w:rFonts w:ascii="Arial Narrow" w:hAnsi="Arial Narrow"/>
          <w:spacing w:val="-2"/>
        </w:rPr>
      </w:pPr>
      <w:r w:rsidRPr="008845F6">
        <w:rPr>
          <w:rFonts w:ascii="Arial Narrow" w:hAnsi="Arial Narrow"/>
          <w:spacing w:val="-2"/>
        </w:rPr>
        <w:t xml:space="preserve">The storage system is Stornext® from Quantum. To ensure compatibility with existing components only Quantum equipment is required. </w:t>
      </w:r>
    </w:p>
    <w:p w14:paraId="020E25E4" w14:textId="77777777" w:rsidR="008845F6" w:rsidRPr="008845F6" w:rsidRDefault="008845F6" w:rsidP="008845F6">
      <w:pPr>
        <w:rPr>
          <w:rFonts w:ascii="Arial Narrow" w:hAnsi="Arial Narrow"/>
          <w:spacing w:val="-2"/>
        </w:rPr>
      </w:pPr>
      <w:r w:rsidRPr="008845F6">
        <w:rPr>
          <w:rFonts w:ascii="Arial Narrow" w:hAnsi="Arial Narrow"/>
          <w:spacing w:val="-2"/>
        </w:rPr>
        <w:t xml:space="preserve">The ICC uses a systems integrator DBBroadcast who will oversee the installation and certification of the system. </w:t>
      </w:r>
    </w:p>
    <w:p w14:paraId="1B8D3D59" w14:textId="77777777" w:rsidR="008845F6" w:rsidRPr="008845F6" w:rsidRDefault="008845F6" w:rsidP="008845F6">
      <w:pPr>
        <w:rPr>
          <w:rFonts w:ascii="Arial Narrow" w:hAnsi="Arial Narrow"/>
          <w:spacing w:val="-2"/>
        </w:rPr>
      </w:pPr>
      <w:r w:rsidRPr="008845F6">
        <w:rPr>
          <w:rFonts w:ascii="Arial Narrow" w:hAnsi="Arial Narrow"/>
          <w:spacing w:val="-2"/>
        </w:rPr>
        <w:t>The Fiber channel switch that is recommended by the system integrator is from DELL however an alternative that is certified compatible can be quoted.</w:t>
      </w:r>
    </w:p>
    <w:p w14:paraId="1477301D" w14:textId="77777777" w:rsidR="008845F6" w:rsidRDefault="008845F6" w:rsidP="008845F6">
      <w:pPr>
        <w:rPr>
          <w:rFonts w:ascii="Arial" w:hAnsi="Arial" w:cs="Arial"/>
          <w:sz w:val="22"/>
          <w:szCs w:val="22"/>
        </w:rPr>
      </w:pPr>
    </w:p>
    <w:p w14:paraId="3B7D8587" w14:textId="77777777" w:rsidR="008845F6" w:rsidRDefault="008845F6" w:rsidP="008845F6">
      <w:pPr>
        <w:ind w:firstLine="720"/>
        <w:rPr>
          <w:rFonts w:ascii="Arial" w:hAnsi="Arial" w:cs="Arial"/>
          <w:b/>
          <w:sz w:val="22"/>
          <w:szCs w:val="22"/>
          <w:u w:val="single"/>
        </w:rPr>
      </w:pPr>
      <w:r w:rsidRPr="006854F3">
        <w:rPr>
          <w:rFonts w:ascii="Arial" w:hAnsi="Arial" w:cs="Arial"/>
          <w:b/>
          <w:sz w:val="22"/>
          <w:szCs w:val="22"/>
          <w:u w:val="single"/>
        </w:rPr>
        <w:t xml:space="preserve">Equipment </w:t>
      </w:r>
      <w:r>
        <w:rPr>
          <w:rFonts w:ascii="Arial" w:hAnsi="Arial" w:cs="Arial"/>
          <w:b/>
          <w:sz w:val="22"/>
          <w:szCs w:val="22"/>
          <w:u w:val="single"/>
        </w:rPr>
        <w:t>required</w:t>
      </w:r>
    </w:p>
    <w:p w14:paraId="59786056" w14:textId="77777777" w:rsidR="008845F6" w:rsidRDefault="008845F6" w:rsidP="008845F6">
      <w:pPr>
        <w:ind w:left="1440" w:firstLine="720"/>
        <w:rPr>
          <w:rFonts w:ascii="Arial" w:hAnsi="Arial" w:cs="Arial"/>
          <w:b/>
          <w:sz w:val="22"/>
          <w:szCs w:val="22"/>
          <w:u w:val="single"/>
        </w:rPr>
      </w:pPr>
    </w:p>
    <w:p w14:paraId="7A14AA57" w14:textId="77777777" w:rsidR="008845F6" w:rsidRPr="006854F3" w:rsidRDefault="008845F6" w:rsidP="008845F6">
      <w:pPr>
        <w:ind w:left="1440" w:firstLine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20"/>
        <w:gridCol w:w="4660"/>
        <w:gridCol w:w="2627"/>
      </w:tblGrid>
      <w:tr w:rsidR="008845F6" w:rsidRPr="00724A0A" w14:paraId="31136017" w14:textId="77777777" w:rsidTr="00543F08">
        <w:trPr>
          <w:trHeight w:val="465"/>
        </w:trPr>
        <w:tc>
          <w:tcPr>
            <w:tcW w:w="706" w:type="dxa"/>
            <w:shd w:val="clear" w:color="auto" w:fill="auto"/>
            <w:noWrap/>
            <w:hideMark/>
          </w:tcPr>
          <w:p w14:paraId="05D7C96A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20" w:type="dxa"/>
            <w:shd w:val="clear" w:color="auto" w:fill="auto"/>
            <w:noWrap/>
            <w:hideMark/>
          </w:tcPr>
          <w:p w14:paraId="42569A16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4660" w:type="dxa"/>
            <w:shd w:val="clear" w:color="auto" w:fill="auto"/>
            <w:hideMark/>
          </w:tcPr>
          <w:p w14:paraId="0F6208C6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627" w:type="dxa"/>
            <w:shd w:val="clear" w:color="auto" w:fill="auto"/>
            <w:noWrap/>
            <w:hideMark/>
          </w:tcPr>
          <w:p w14:paraId="3EF7520C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>Part #</w:t>
            </w:r>
          </w:p>
        </w:tc>
      </w:tr>
      <w:tr w:rsidR="008845F6" w:rsidRPr="00724A0A" w14:paraId="7A881755" w14:textId="77777777" w:rsidTr="00543F08">
        <w:trPr>
          <w:trHeight w:val="135"/>
        </w:trPr>
        <w:tc>
          <w:tcPr>
            <w:tcW w:w="706" w:type="dxa"/>
            <w:shd w:val="clear" w:color="auto" w:fill="auto"/>
            <w:noWrap/>
            <w:hideMark/>
          </w:tcPr>
          <w:p w14:paraId="4F5A2201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hideMark/>
          </w:tcPr>
          <w:p w14:paraId="4FD75D6C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1427E901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27" w:type="dxa"/>
            <w:shd w:val="clear" w:color="auto" w:fill="auto"/>
            <w:noWrap/>
            <w:hideMark/>
          </w:tcPr>
          <w:p w14:paraId="5A228D00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45F6" w:rsidRPr="00724A0A" w14:paraId="6AAB1DB4" w14:textId="77777777" w:rsidTr="00543F08">
        <w:trPr>
          <w:trHeight w:val="402"/>
        </w:trPr>
        <w:tc>
          <w:tcPr>
            <w:tcW w:w="5986" w:type="dxa"/>
            <w:gridSpan w:val="3"/>
            <w:shd w:val="clear" w:color="auto" w:fill="auto"/>
            <w:noWrap/>
            <w:hideMark/>
          </w:tcPr>
          <w:p w14:paraId="51F40C04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>Section 1 - Quantum XWD</w:t>
            </w:r>
          </w:p>
        </w:tc>
        <w:tc>
          <w:tcPr>
            <w:tcW w:w="2627" w:type="dxa"/>
            <w:shd w:val="clear" w:color="auto" w:fill="auto"/>
            <w:noWrap/>
            <w:hideMark/>
          </w:tcPr>
          <w:p w14:paraId="1A7DE446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5F6" w:rsidRPr="00724A0A" w14:paraId="0F3261D2" w14:textId="77777777" w:rsidTr="00543F08">
        <w:trPr>
          <w:trHeight w:val="765"/>
        </w:trPr>
        <w:tc>
          <w:tcPr>
            <w:tcW w:w="706" w:type="dxa"/>
            <w:shd w:val="clear" w:color="auto" w:fill="auto"/>
            <w:hideMark/>
          </w:tcPr>
          <w:p w14:paraId="419F7F25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620" w:type="dxa"/>
            <w:shd w:val="clear" w:color="auto" w:fill="auto"/>
            <w:hideMark/>
          </w:tcPr>
          <w:p w14:paraId="1EDD98D8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60" w:type="dxa"/>
            <w:shd w:val="clear" w:color="auto" w:fill="auto"/>
            <w:hideMark/>
          </w:tcPr>
          <w:p w14:paraId="363D473F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Xcellis Workflow Director (XWD),for StorNext 7,Dual Node,requires StorNext 7 Licensing.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67E31F3D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BXCBL-BWD2-001A</w:t>
            </w:r>
          </w:p>
        </w:tc>
      </w:tr>
      <w:tr w:rsidR="008845F6" w:rsidRPr="00724A0A" w14:paraId="63949B06" w14:textId="77777777" w:rsidTr="00543F08">
        <w:trPr>
          <w:trHeight w:val="1020"/>
        </w:trPr>
        <w:tc>
          <w:tcPr>
            <w:tcW w:w="706" w:type="dxa"/>
            <w:shd w:val="clear" w:color="auto" w:fill="auto"/>
            <w:noWrap/>
            <w:hideMark/>
          </w:tcPr>
          <w:p w14:paraId="1ADF7608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620" w:type="dxa"/>
            <w:shd w:val="clear" w:color="auto" w:fill="auto"/>
            <w:hideMark/>
          </w:tcPr>
          <w:p w14:paraId="09BFC1FD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60" w:type="dxa"/>
            <w:shd w:val="clear" w:color="auto" w:fill="auto"/>
            <w:hideMark/>
          </w:tcPr>
          <w:p w14:paraId="1C81B96A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Kit,Fibre Channel,32Gb,Dual-Port,Low-Profile,Optical,2x cables,single HBA,for Xcellis Workflow Director/StorNext 7/Gen2 (requires quantity two for dual node systems).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37B2DB52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BXCBH-FFGA-232A</w:t>
            </w:r>
          </w:p>
        </w:tc>
      </w:tr>
      <w:tr w:rsidR="008845F6" w:rsidRPr="00724A0A" w14:paraId="75CD3C86" w14:textId="77777777" w:rsidTr="00543F08">
        <w:trPr>
          <w:trHeight w:val="780"/>
        </w:trPr>
        <w:tc>
          <w:tcPr>
            <w:tcW w:w="706" w:type="dxa"/>
            <w:shd w:val="clear" w:color="auto" w:fill="auto"/>
            <w:noWrap/>
            <w:hideMark/>
          </w:tcPr>
          <w:p w14:paraId="570C24E6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620" w:type="dxa"/>
            <w:shd w:val="clear" w:color="auto" w:fill="auto"/>
            <w:hideMark/>
          </w:tcPr>
          <w:p w14:paraId="07F05EB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60" w:type="dxa"/>
            <w:shd w:val="clear" w:color="auto" w:fill="auto"/>
            <w:hideMark/>
          </w:tcPr>
          <w:p w14:paraId="2B6ED0E0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Storage node,12G,RAID,Fibre Channel SFPs,7.2TB (12x0.6TB) raw,6TB (5.46TiB) usable,HDD,non-SED. Quantum QXS-424</w:t>
            </w:r>
          </w:p>
        </w:tc>
        <w:tc>
          <w:tcPr>
            <w:tcW w:w="2627" w:type="dxa"/>
            <w:shd w:val="clear" w:color="auto" w:fill="auto"/>
            <w:hideMark/>
          </w:tcPr>
          <w:p w14:paraId="554FE9E8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GTB4F-CHC6-F00C</w:t>
            </w:r>
          </w:p>
        </w:tc>
      </w:tr>
      <w:tr w:rsidR="008845F6" w:rsidRPr="00724A0A" w14:paraId="4B317D58" w14:textId="77777777" w:rsidTr="00543F08">
        <w:trPr>
          <w:trHeight w:val="402"/>
        </w:trPr>
        <w:tc>
          <w:tcPr>
            <w:tcW w:w="706" w:type="dxa"/>
            <w:shd w:val="clear" w:color="auto" w:fill="auto"/>
            <w:noWrap/>
            <w:hideMark/>
          </w:tcPr>
          <w:p w14:paraId="5D97D950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hideMark/>
          </w:tcPr>
          <w:p w14:paraId="2578BCFD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shd w:val="clear" w:color="auto" w:fill="auto"/>
            <w:hideMark/>
          </w:tcPr>
          <w:p w14:paraId="23F6F11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  <w:noWrap/>
            <w:hideMark/>
          </w:tcPr>
          <w:p w14:paraId="538C5F51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F6" w:rsidRPr="00724A0A" w14:paraId="61C5A505" w14:textId="77777777" w:rsidTr="00543F08">
        <w:trPr>
          <w:trHeight w:val="402"/>
        </w:trPr>
        <w:tc>
          <w:tcPr>
            <w:tcW w:w="5986" w:type="dxa"/>
            <w:gridSpan w:val="3"/>
            <w:shd w:val="clear" w:color="auto" w:fill="auto"/>
            <w:noWrap/>
            <w:hideMark/>
          </w:tcPr>
          <w:p w14:paraId="44A2676B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Section 1.1 - Quantum XWD - 10GbE Option</w:t>
            </w:r>
          </w:p>
        </w:tc>
        <w:tc>
          <w:tcPr>
            <w:tcW w:w="2627" w:type="dxa"/>
            <w:shd w:val="clear" w:color="auto" w:fill="auto"/>
            <w:noWrap/>
            <w:hideMark/>
          </w:tcPr>
          <w:p w14:paraId="25665488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</w:tr>
      <w:tr w:rsidR="008845F6" w:rsidRPr="00724A0A" w14:paraId="082936F8" w14:textId="77777777" w:rsidTr="00543F08">
        <w:trPr>
          <w:trHeight w:val="1020"/>
        </w:trPr>
        <w:tc>
          <w:tcPr>
            <w:tcW w:w="706" w:type="dxa"/>
            <w:shd w:val="clear" w:color="auto" w:fill="auto"/>
            <w:hideMark/>
          </w:tcPr>
          <w:p w14:paraId="765892D2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1.1.1</w:t>
            </w:r>
          </w:p>
        </w:tc>
        <w:tc>
          <w:tcPr>
            <w:tcW w:w="620" w:type="dxa"/>
            <w:shd w:val="clear" w:color="auto" w:fill="auto"/>
            <w:hideMark/>
          </w:tcPr>
          <w:p w14:paraId="3F05729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60" w:type="dxa"/>
            <w:shd w:val="clear" w:color="auto" w:fill="auto"/>
            <w:hideMark/>
          </w:tcPr>
          <w:p w14:paraId="4F0A88F0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Kit,NIC,10GbE/25GbE,Dual-Port,Low-Profile,no SFP,for Xcellis Workflow Director/StorNext 7/Gen2 (requires quantity two for dual node systems).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623436DA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BXCBH-ANGQ-210A</w:t>
            </w:r>
          </w:p>
        </w:tc>
      </w:tr>
      <w:tr w:rsidR="008845F6" w:rsidRPr="00724A0A" w14:paraId="748B9C73" w14:textId="77777777" w:rsidTr="00543F08">
        <w:trPr>
          <w:trHeight w:val="780"/>
        </w:trPr>
        <w:tc>
          <w:tcPr>
            <w:tcW w:w="706" w:type="dxa"/>
            <w:shd w:val="clear" w:color="auto" w:fill="auto"/>
            <w:noWrap/>
            <w:hideMark/>
          </w:tcPr>
          <w:p w14:paraId="302E7F8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1.1.2</w:t>
            </w:r>
          </w:p>
        </w:tc>
        <w:tc>
          <w:tcPr>
            <w:tcW w:w="620" w:type="dxa"/>
            <w:shd w:val="clear" w:color="auto" w:fill="auto"/>
            <w:hideMark/>
          </w:tcPr>
          <w:p w14:paraId="02DFBADC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60" w:type="dxa"/>
            <w:shd w:val="clear" w:color="auto" w:fill="auto"/>
            <w:hideMark/>
          </w:tcPr>
          <w:p w14:paraId="5C1048B6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Kit,LC cable,10GbE,2x SFPs,optical,6m,for Xcellis Workflow Director/StorNext 7/Gen2 (requires one SFP kit per NIC kit).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77C25033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BXCBH-ACBL-210A</w:t>
            </w:r>
          </w:p>
        </w:tc>
      </w:tr>
      <w:tr w:rsidR="008845F6" w:rsidRPr="00724A0A" w14:paraId="16061403" w14:textId="77777777" w:rsidTr="00543F08">
        <w:trPr>
          <w:trHeight w:val="402"/>
        </w:trPr>
        <w:tc>
          <w:tcPr>
            <w:tcW w:w="706" w:type="dxa"/>
            <w:shd w:val="clear" w:color="auto" w:fill="auto"/>
            <w:noWrap/>
            <w:hideMark/>
          </w:tcPr>
          <w:p w14:paraId="2AFDE595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hideMark/>
          </w:tcPr>
          <w:p w14:paraId="695D5E11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shd w:val="clear" w:color="auto" w:fill="auto"/>
            <w:hideMark/>
          </w:tcPr>
          <w:p w14:paraId="3DEEA351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  <w:noWrap/>
            <w:hideMark/>
          </w:tcPr>
          <w:p w14:paraId="06FC3EE9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F6" w:rsidRPr="00724A0A" w14:paraId="04F9CC9E" w14:textId="77777777" w:rsidTr="00543F08">
        <w:trPr>
          <w:trHeight w:val="402"/>
        </w:trPr>
        <w:tc>
          <w:tcPr>
            <w:tcW w:w="5986" w:type="dxa"/>
            <w:gridSpan w:val="3"/>
            <w:shd w:val="clear" w:color="auto" w:fill="auto"/>
            <w:noWrap/>
            <w:hideMark/>
          </w:tcPr>
          <w:p w14:paraId="023A86BE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>Section 2 - Quantum XWD - Software Licencing</w:t>
            </w:r>
          </w:p>
        </w:tc>
        <w:tc>
          <w:tcPr>
            <w:tcW w:w="2627" w:type="dxa"/>
            <w:shd w:val="clear" w:color="auto" w:fill="auto"/>
            <w:noWrap/>
            <w:hideMark/>
          </w:tcPr>
          <w:p w14:paraId="1A4FDDB9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5F6" w:rsidRPr="00724A0A" w14:paraId="1F92BF74" w14:textId="77777777" w:rsidTr="00543F08">
        <w:trPr>
          <w:trHeight w:val="765"/>
        </w:trPr>
        <w:tc>
          <w:tcPr>
            <w:tcW w:w="706" w:type="dxa"/>
            <w:shd w:val="clear" w:color="auto" w:fill="auto"/>
            <w:hideMark/>
          </w:tcPr>
          <w:p w14:paraId="7E2B7BAC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620" w:type="dxa"/>
            <w:shd w:val="clear" w:color="auto" w:fill="auto"/>
            <w:hideMark/>
          </w:tcPr>
          <w:p w14:paraId="6534711D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4660" w:type="dxa"/>
            <w:shd w:val="clear" w:color="auto" w:fill="auto"/>
            <w:hideMark/>
          </w:tcPr>
          <w:p w14:paraId="27E45AA6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Capacity licence,for StorNext 7 File System,annual subscription,per TiB,includes Gold (7x24TS) software support.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7E766878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WSNS7-ALFS-HG1A</w:t>
            </w:r>
          </w:p>
        </w:tc>
      </w:tr>
      <w:tr w:rsidR="008845F6" w:rsidRPr="00724A0A" w14:paraId="6022B7A8" w14:textId="77777777" w:rsidTr="00543F08">
        <w:trPr>
          <w:trHeight w:val="1035"/>
        </w:trPr>
        <w:tc>
          <w:tcPr>
            <w:tcW w:w="706" w:type="dxa"/>
            <w:shd w:val="clear" w:color="auto" w:fill="auto"/>
            <w:noWrap/>
            <w:hideMark/>
          </w:tcPr>
          <w:p w14:paraId="5BC7825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620" w:type="dxa"/>
            <w:shd w:val="clear" w:color="auto" w:fill="auto"/>
            <w:hideMark/>
          </w:tcPr>
          <w:p w14:paraId="0FE0C643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60" w:type="dxa"/>
            <w:shd w:val="clear" w:color="auto" w:fill="auto"/>
            <w:hideMark/>
          </w:tcPr>
          <w:p w14:paraId="3D22ACB7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Node licence,for Quantum StorNext 7 Scale-Out Data Services,annual subscription,per server node,includes Gold (7x24TS) software support.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7648C10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WSNS7-ALSD-HG1A</w:t>
            </w:r>
          </w:p>
        </w:tc>
      </w:tr>
      <w:tr w:rsidR="008845F6" w:rsidRPr="00724A0A" w14:paraId="7DAAB6FE" w14:textId="77777777" w:rsidTr="00543F08">
        <w:trPr>
          <w:trHeight w:val="402"/>
        </w:trPr>
        <w:tc>
          <w:tcPr>
            <w:tcW w:w="706" w:type="dxa"/>
            <w:shd w:val="clear" w:color="auto" w:fill="auto"/>
            <w:noWrap/>
            <w:hideMark/>
          </w:tcPr>
          <w:p w14:paraId="2EECA131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hideMark/>
          </w:tcPr>
          <w:p w14:paraId="46F0A3A0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shd w:val="clear" w:color="auto" w:fill="auto"/>
            <w:hideMark/>
          </w:tcPr>
          <w:p w14:paraId="18C20E43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  <w:noWrap/>
            <w:hideMark/>
          </w:tcPr>
          <w:p w14:paraId="67A9F1B6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F6" w:rsidRPr="00724A0A" w14:paraId="6582FF8E" w14:textId="77777777" w:rsidTr="00543F08">
        <w:trPr>
          <w:trHeight w:val="402"/>
        </w:trPr>
        <w:tc>
          <w:tcPr>
            <w:tcW w:w="5986" w:type="dxa"/>
            <w:gridSpan w:val="3"/>
            <w:shd w:val="clear" w:color="auto" w:fill="auto"/>
            <w:noWrap/>
            <w:hideMark/>
          </w:tcPr>
          <w:p w14:paraId="193B3359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>Section 3 - Quantum XWD - Annual Support</w:t>
            </w:r>
          </w:p>
        </w:tc>
        <w:tc>
          <w:tcPr>
            <w:tcW w:w="2627" w:type="dxa"/>
            <w:shd w:val="clear" w:color="auto" w:fill="auto"/>
            <w:noWrap/>
            <w:hideMark/>
          </w:tcPr>
          <w:p w14:paraId="0F2DA797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5F6" w:rsidRPr="00724A0A" w14:paraId="051D8B6B" w14:textId="77777777" w:rsidTr="00543F08">
        <w:trPr>
          <w:trHeight w:val="765"/>
        </w:trPr>
        <w:tc>
          <w:tcPr>
            <w:tcW w:w="706" w:type="dxa"/>
            <w:shd w:val="clear" w:color="auto" w:fill="auto"/>
            <w:hideMark/>
          </w:tcPr>
          <w:p w14:paraId="6D92D129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620" w:type="dxa"/>
            <w:shd w:val="clear" w:color="auto" w:fill="auto"/>
            <w:hideMark/>
          </w:tcPr>
          <w:p w14:paraId="346F0549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60" w:type="dxa"/>
            <w:shd w:val="clear" w:color="auto" w:fill="auto"/>
            <w:hideMark/>
          </w:tcPr>
          <w:p w14:paraId="222A90DF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Support plan,Gold (7x24x4 CRU),annual,zone 1,for Xcellis Workflow Director for StorNext 7,Dual Node.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56047C33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SXCBL-SWD2-CG11</w:t>
            </w:r>
          </w:p>
        </w:tc>
      </w:tr>
      <w:tr w:rsidR="008845F6" w:rsidRPr="00724A0A" w14:paraId="2ACDBEB8" w14:textId="77777777" w:rsidTr="00543F08">
        <w:trPr>
          <w:trHeight w:val="1035"/>
        </w:trPr>
        <w:tc>
          <w:tcPr>
            <w:tcW w:w="706" w:type="dxa"/>
            <w:shd w:val="clear" w:color="auto" w:fill="auto"/>
            <w:noWrap/>
            <w:hideMark/>
          </w:tcPr>
          <w:p w14:paraId="597A4802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620" w:type="dxa"/>
            <w:shd w:val="clear" w:color="auto" w:fill="auto"/>
            <w:hideMark/>
          </w:tcPr>
          <w:p w14:paraId="43296126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60" w:type="dxa"/>
            <w:shd w:val="clear" w:color="auto" w:fill="auto"/>
            <w:hideMark/>
          </w:tcPr>
          <w:p w14:paraId="2580C247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Support plan,Gold (7x24x4 CRU),annual,zone 1,for QXS-424 12G RAID Node (Ethernet/Fibre Channel),7.2TB (12x0.6TB),HDD (SED/non-SED). Quantum</w:t>
            </w:r>
          </w:p>
        </w:tc>
        <w:tc>
          <w:tcPr>
            <w:tcW w:w="2627" w:type="dxa"/>
            <w:shd w:val="clear" w:color="auto" w:fill="auto"/>
            <w:hideMark/>
          </w:tcPr>
          <w:p w14:paraId="57A9DE9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STB4F-SHC6-CG11</w:t>
            </w:r>
          </w:p>
        </w:tc>
      </w:tr>
      <w:tr w:rsidR="008845F6" w:rsidRPr="00724A0A" w14:paraId="7EB72379" w14:textId="77777777" w:rsidTr="00543F08">
        <w:trPr>
          <w:trHeight w:val="402"/>
        </w:trPr>
        <w:tc>
          <w:tcPr>
            <w:tcW w:w="706" w:type="dxa"/>
            <w:shd w:val="clear" w:color="auto" w:fill="auto"/>
            <w:noWrap/>
            <w:hideMark/>
          </w:tcPr>
          <w:p w14:paraId="321A6D97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hideMark/>
          </w:tcPr>
          <w:p w14:paraId="3AEAFE0A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shd w:val="clear" w:color="auto" w:fill="auto"/>
            <w:hideMark/>
          </w:tcPr>
          <w:p w14:paraId="6420AAB6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  <w:noWrap/>
            <w:hideMark/>
          </w:tcPr>
          <w:p w14:paraId="5441E33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F6" w:rsidRPr="00724A0A" w14:paraId="0DDB67BC" w14:textId="77777777" w:rsidTr="00543F08">
        <w:trPr>
          <w:trHeight w:val="402"/>
        </w:trPr>
        <w:tc>
          <w:tcPr>
            <w:tcW w:w="5986" w:type="dxa"/>
            <w:gridSpan w:val="3"/>
            <w:shd w:val="clear" w:color="auto" w:fill="auto"/>
            <w:noWrap/>
            <w:hideMark/>
          </w:tcPr>
          <w:p w14:paraId="52D8DF61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A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4 - FC Switches </w:t>
            </w:r>
          </w:p>
        </w:tc>
        <w:tc>
          <w:tcPr>
            <w:tcW w:w="2627" w:type="dxa"/>
            <w:shd w:val="clear" w:color="auto" w:fill="auto"/>
            <w:noWrap/>
            <w:hideMark/>
          </w:tcPr>
          <w:p w14:paraId="64FE60FB" w14:textId="77777777" w:rsidR="008845F6" w:rsidRPr="00724A0A" w:rsidRDefault="008845F6" w:rsidP="00543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5F6" w:rsidRPr="00724A0A" w14:paraId="027C35B3" w14:textId="77777777" w:rsidTr="00543F08">
        <w:trPr>
          <w:trHeight w:val="780"/>
        </w:trPr>
        <w:tc>
          <w:tcPr>
            <w:tcW w:w="706" w:type="dxa"/>
            <w:shd w:val="clear" w:color="auto" w:fill="auto"/>
            <w:hideMark/>
          </w:tcPr>
          <w:p w14:paraId="35275603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4.1®</w:t>
            </w:r>
          </w:p>
        </w:tc>
        <w:tc>
          <w:tcPr>
            <w:tcW w:w="620" w:type="dxa"/>
            <w:shd w:val="clear" w:color="auto" w:fill="auto"/>
            <w:hideMark/>
          </w:tcPr>
          <w:p w14:paraId="411B8C34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60" w:type="dxa"/>
            <w:shd w:val="clear" w:color="auto" w:fill="auto"/>
            <w:hideMark/>
          </w:tcPr>
          <w:p w14:paraId="58DE7BEF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 xml:space="preserve">Switch,8P/24P,w/rear-to-front airflow,8x16Gb SFPs and rack mount kit,inc. ProSupport 4hr Mission Critical 60 months,Connectrix </w:t>
            </w:r>
          </w:p>
        </w:tc>
        <w:tc>
          <w:tcPr>
            <w:tcW w:w="2627" w:type="dxa"/>
            <w:shd w:val="clear" w:color="auto" w:fill="auto"/>
            <w:hideMark/>
          </w:tcPr>
          <w:p w14:paraId="6A455FE1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  <w:r w:rsidRPr="00724A0A">
              <w:rPr>
                <w:rFonts w:ascii="Arial" w:hAnsi="Arial" w:cs="Arial"/>
                <w:sz w:val="22"/>
                <w:szCs w:val="22"/>
              </w:rPr>
              <w:t>3000142454622V1-LN1</w:t>
            </w:r>
          </w:p>
        </w:tc>
      </w:tr>
      <w:tr w:rsidR="008845F6" w:rsidRPr="00724A0A" w14:paraId="18F0331A" w14:textId="77777777" w:rsidTr="00543F08">
        <w:trPr>
          <w:trHeight w:val="402"/>
        </w:trPr>
        <w:tc>
          <w:tcPr>
            <w:tcW w:w="706" w:type="dxa"/>
            <w:shd w:val="clear" w:color="auto" w:fill="auto"/>
            <w:noWrap/>
            <w:hideMark/>
          </w:tcPr>
          <w:p w14:paraId="7224CA46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hideMark/>
          </w:tcPr>
          <w:p w14:paraId="0870CCC2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shd w:val="clear" w:color="auto" w:fill="auto"/>
            <w:hideMark/>
          </w:tcPr>
          <w:p w14:paraId="6A6BD31D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  <w:noWrap/>
            <w:hideMark/>
          </w:tcPr>
          <w:p w14:paraId="458EF8EB" w14:textId="77777777" w:rsidR="008845F6" w:rsidRPr="00724A0A" w:rsidRDefault="008845F6" w:rsidP="00543F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E53D38" w14:textId="77777777" w:rsidR="008845F6" w:rsidRDefault="008845F6" w:rsidP="008845F6">
      <w:pPr>
        <w:rPr>
          <w:rFonts w:ascii="Arial" w:hAnsi="Arial" w:cs="Arial"/>
          <w:sz w:val="22"/>
          <w:szCs w:val="22"/>
        </w:rPr>
      </w:pPr>
    </w:p>
    <w:p w14:paraId="4C1F832C" w14:textId="77777777" w:rsidR="009205B6" w:rsidRDefault="009205B6" w:rsidP="004C5A7D">
      <w:pPr>
        <w:pStyle w:val="Default"/>
        <w:jc w:val="both"/>
        <w:rPr>
          <w:color w:val="auto"/>
          <w:sz w:val="22"/>
          <w:szCs w:val="22"/>
        </w:rPr>
      </w:pPr>
    </w:p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4250C2C0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3C288E61" w14:textId="77777777" w:rsidR="00476BFD" w:rsidRDefault="001C7F4E" w:rsidP="0022327E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>
        <w:rPr>
          <w:rFonts w:ascii="Arial Narrow" w:eastAsia="MS Mincho" w:hAnsi="Arial Narrow"/>
          <w:spacing w:val="-2"/>
          <w:sz w:val="24"/>
          <w:szCs w:val="20"/>
        </w:rPr>
        <w:t>*******************</w:t>
      </w:r>
    </w:p>
    <w:p w14:paraId="7AEB007E" w14:textId="77777777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2869A2" w:rsidRPr="004E015B">
          <w:rPr>
            <w:rStyle w:val="Hyperlink"/>
            <w:rFonts w:ascii="Arial Narrow" w:hAnsi="Arial Narrow" w:hint="eastAsia"/>
            <w:spacing w:val="-2"/>
            <w:lang w:eastAsia="ja-JP"/>
          </w:rPr>
          <w:t>Tender.2</w:t>
        </w:r>
        <w:r w:rsidR="002869A2" w:rsidRPr="004E015B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0FF705D0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4248F5">
        <w:rPr>
          <w:rFonts w:ascii="Arial Narrow" w:hAnsi="Arial Narrow"/>
          <w:spacing w:val="-2"/>
        </w:rPr>
        <w:t>4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515D9CEF" w14:textId="77777777"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  <w:spacing w:val="-2"/>
        </w:rPr>
        <w:lastRenderedPageBreak/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</w:p>
    <w:p w14:paraId="0F5A6773" w14:textId="77777777" w:rsidR="0022327E" w:rsidRDefault="0022327E" w:rsidP="0022327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7777777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68EFE824" w14:textId="77777777" w:rsidR="00A60316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56A99381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428CA151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8157805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5AAA1841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4A71578B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793858D8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01B53F26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522B9420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6CDE6E2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6EA6C029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1074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0696EE89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8845F6">
        <w:rPr>
          <w:rFonts w:ascii="Arial Narrow" w:hAnsi="Arial Narrow"/>
          <w:szCs w:val="24"/>
        </w:rPr>
        <w:t>Provision of Quantum Storage Equipment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13EF6839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1074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4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19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0"/>
  </w:num>
  <w:num w:numId="5">
    <w:abstractNumId w:val="13"/>
  </w:num>
  <w:num w:numId="6">
    <w:abstractNumId w:val="20"/>
  </w:num>
  <w:num w:numId="7">
    <w:abstractNumId w:val="2"/>
  </w:num>
  <w:num w:numId="8">
    <w:abstractNumId w:val="18"/>
    <w:lvlOverride w:ilvl="0">
      <w:startOverride w:val="5"/>
    </w:lvlOverride>
  </w:num>
  <w:num w:numId="9">
    <w:abstractNumId w:val="25"/>
  </w:num>
  <w:num w:numId="10">
    <w:abstractNumId w:val="15"/>
  </w:num>
  <w:num w:numId="11">
    <w:abstractNumId w:val="14"/>
  </w:num>
  <w:num w:numId="12">
    <w:abstractNumId w:val="12"/>
  </w:num>
  <w:num w:numId="13">
    <w:abstractNumId w:val="19"/>
  </w:num>
  <w:num w:numId="14">
    <w:abstractNumId w:val="21"/>
  </w:num>
  <w:num w:numId="15">
    <w:abstractNumId w:val="7"/>
  </w:num>
  <w:num w:numId="16">
    <w:abstractNumId w:val="22"/>
  </w:num>
  <w:num w:numId="17">
    <w:abstractNumId w:val="8"/>
  </w:num>
  <w:num w:numId="18">
    <w:abstractNumId w:val="1"/>
  </w:num>
  <w:num w:numId="19">
    <w:abstractNumId w:val="4"/>
  </w:num>
  <w:num w:numId="20">
    <w:abstractNumId w:val="10"/>
  </w:num>
  <w:num w:numId="21">
    <w:abstractNumId w:val="11"/>
  </w:num>
  <w:num w:numId="22">
    <w:abstractNumId w:val="9"/>
  </w:num>
  <w:num w:numId="23">
    <w:abstractNumId w:val="5"/>
  </w:num>
  <w:num w:numId="24">
    <w:abstractNumId w:val="16"/>
  </w:num>
  <w:num w:numId="25">
    <w:abstractNumId w:val="24"/>
  </w:num>
  <w:num w:numId="26">
    <w:abstractNumId w:val="29"/>
  </w:num>
  <w:num w:numId="27">
    <w:abstractNumId w:val="17"/>
  </w:num>
  <w:num w:numId="28">
    <w:abstractNumId w:val="6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845F6"/>
    <w:rsid w:val="00897D95"/>
    <w:rsid w:val="008A2442"/>
    <w:rsid w:val="008B02E3"/>
    <w:rsid w:val="008C1B45"/>
    <w:rsid w:val="008C751B"/>
    <w:rsid w:val="008E3704"/>
    <w:rsid w:val="00906524"/>
    <w:rsid w:val="009205B6"/>
    <w:rsid w:val="0094284B"/>
    <w:rsid w:val="00953696"/>
    <w:rsid w:val="00961EAB"/>
    <w:rsid w:val="0097497F"/>
    <w:rsid w:val="009943F1"/>
    <w:rsid w:val="009A6C3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2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596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4984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Nakamura, Kazumi</cp:lastModifiedBy>
  <cp:revision>3</cp:revision>
  <cp:lastPrinted>2007-05-04T09:09:00Z</cp:lastPrinted>
  <dcterms:created xsi:type="dcterms:W3CDTF">2023-03-22T14:56:00Z</dcterms:created>
  <dcterms:modified xsi:type="dcterms:W3CDTF">2023-03-22T15:16:00Z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