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0261C0" w:rsidRPr="000261C0">
        <w:rPr>
          <w:rFonts w:ascii="Arial Narrow" w:hAnsi="Arial Narrow"/>
          <w:szCs w:val="24"/>
        </w:rPr>
        <w:t>Development services for PaaS Mendix</w:t>
      </w:r>
    </w:p>
    <w:p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0261C0">
        <w:rPr>
          <w:rFonts w:ascii="Arial Narrow" w:hAnsi="Arial Narrow"/>
          <w:szCs w:val="24"/>
          <w:u w:val="none"/>
        </w:rPr>
        <w:t>23</w:t>
      </w:r>
      <w:r w:rsidRPr="000A28B4">
        <w:rPr>
          <w:rFonts w:ascii="Arial Narrow" w:hAnsi="Arial Narrow"/>
          <w:szCs w:val="24"/>
          <w:u w:val="none"/>
        </w:rPr>
        <w:t xml:space="preserve"> </w:t>
      </w:r>
      <w:r w:rsidR="00041973">
        <w:rPr>
          <w:rFonts w:ascii="Arial Narrow" w:hAnsi="Arial Narrow"/>
          <w:szCs w:val="24"/>
          <w:u w:val="none"/>
        </w:rPr>
        <w:t>November</w:t>
      </w:r>
      <w:r w:rsidR="00437162">
        <w:rPr>
          <w:rFonts w:ascii="Arial Narrow" w:hAnsi="Arial Narrow"/>
          <w:szCs w:val="24"/>
          <w:u w:val="none"/>
        </w:rPr>
        <w:t xml:space="preserve"> </w:t>
      </w:r>
      <w:r w:rsidR="00A36E13">
        <w:rPr>
          <w:rFonts w:ascii="Arial Narrow" w:hAnsi="Arial Narrow"/>
          <w:szCs w:val="24"/>
          <w:u w:val="none"/>
        </w:rPr>
        <w:t>2</w:t>
      </w:r>
      <w:r w:rsidR="00752E95">
        <w:rPr>
          <w:rFonts w:ascii="Arial Narrow" w:hAnsi="Arial Narrow"/>
          <w:szCs w:val="24"/>
          <w:u w:val="none"/>
        </w:rPr>
        <w:t>0</w:t>
      </w:r>
      <w:r w:rsidR="00AA76DD">
        <w:rPr>
          <w:rFonts w:ascii="Arial Narrow" w:hAnsi="Arial Narrow"/>
          <w:szCs w:val="24"/>
          <w:u w:val="none"/>
        </w:rPr>
        <w:t>2</w:t>
      </w:r>
      <w:r w:rsidR="009205B6">
        <w:rPr>
          <w:rFonts w:ascii="Arial Narrow" w:hAnsi="Arial Narrow"/>
          <w:szCs w:val="24"/>
          <w:u w:val="none"/>
        </w:rPr>
        <w:t>2</w:t>
      </w:r>
      <w:r w:rsidRPr="000A28B4">
        <w:rPr>
          <w:rFonts w:ascii="Arial Narrow" w:hAnsi="Arial Narrow"/>
          <w:szCs w:val="24"/>
          <w:u w:val="none"/>
        </w:rPr>
        <w:tab/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C678B8">
        <w:rPr>
          <w:rFonts w:ascii="Arial Narrow" w:hAnsi="Arial Narrow"/>
          <w:szCs w:val="24"/>
          <w:u w:val="none"/>
        </w:rPr>
        <w:t>2</w:t>
      </w:r>
      <w:r w:rsidR="000261C0">
        <w:rPr>
          <w:rFonts w:ascii="Arial Narrow" w:hAnsi="Arial Narrow"/>
          <w:szCs w:val="24"/>
          <w:u w:val="none"/>
        </w:rPr>
        <w:t>9</w:t>
      </w:r>
      <w:r w:rsidR="009205B6">
        <w:rPr>
          <w:rFonts w:ascii="Arial Narrow" w:hAnsi="Arial Narrow"/>
          <w:szCs w:val="24"/>
          <w:u w:val="none"/>
        </w:rPr>
        <w:t xml:space="preserve"> </w:t>
      </w:r>
      <w:r w:rsidR="00041973">
        <w:rPr>
          <w:rFonts w:ascii="Arial Narrow" w:hAnsi="Arial Narrow"/>
          <w:szCs w:val="24"/>
          <w:u w:val="none"/>
        </w:rPr>
        <w:t>November</w:t>
      </w:r>
      <w:r w:rsidR="009205B6">
        <w:rPr>
          <w:rFonts w:ascii="Arial Narrow" w:hAnsi="Arial Narrow"/>
          <w:szCs w:val="24"/>
          <w:u w:val="none"/>
        </w:rPr>
        <w:t xml:space="preserve"> 2022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041973">
        <w:rPr>
          <w:rFonts w:ascii="Arial Narrow" w:hAnsi="Arial Narrow"/>
          <w:szCs w:val="24"/>
          <w:u w:val="none"/>
        </w:rPr>
        <w:t>130</w:t>
      </w:r>
      <w:r w:rsidR="000261C0">
        <w:rPr>
          <w:rFonts w:ascii="Arial Narrow" w:hAnsi="Arial Narrow"/>
          <w:szCs w:val="24"/>
          <w:u w:val="none"/>
        </w:rPr>
        <w:t>568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>, Tender 2</w:t>
      </w:r>
    </w:p>
    <w:p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r w:rsidRPr="00F6173D">
        <w:rPr>
          <w:rFonts w:ascii="Arial Narrow" w:hAnsi="Arial Narrow"/>
          <w:bCs/>
          <w:szCs w:val="24"/>
          <w:u w:val="none"/>
          <w:lang w:val="de-DE"/>
        </w:rPr>
        <w:t>E-mail address: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Tender.2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:rsidR="00831335" w:rsidRPr="00323914" w:rsidRDefault="00831335" w:rsidP="008164FF">
      <w:pPr>
        <w:rPr>
          <w:lang w:val="fr-FR"/>
        </w:rPr>
      </w:pPr>
    </w:p>
    <w:p w:rsidR="000261C0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0261C0" w:rsidRPr="000261C0">
        <w:rPr>
          <w:rFonts w:ascii="Arial Narrow" w:hAnsi="Arial Narrow"/>
          <w:b/>
          <w:szCs w:val="24"/>
          <w:u w:val="single"/>
        </w:rPr>
        <w:t>Development services for PaaS Mendix</w:t>
      </w:r>
      <w:r w:rsidRPr="00CC29E6">
        <w:rPr>
          <w:rFonts w:ascii="Arial Narrow" w:hAnsi="Arial Narrow"/>
          <w:spacing w:val="-2"/>
        </w:rPr>
        <w:t xml:space="preserve">. </w:t>
      </w:r>
    </w:p>
    <w:p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 w:rsidRPr="00CC29E6">
        <w:rPr>
          <w:rFonts w:ascii="Arial Narrow" w:hAnsi="Arial Narrow"/>
          <w:spacing w:val="-2"/>
        </w:rPr>
        <w:t>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</w:p>
    <w:p w:rsidR="005C12B8" w:rsidRDefault="005C12B8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:rsidR="005C12B8" w:rsidRDefault="005C12B8" w:rsidP="00FA2645">
      <w:pPr>
        <w:tabs>
          <w:tab w:val="left" w:pos="-720"/>
          <w:tab w:val="left" w:pos="567"/>
        </w:tabs>
        <w:suppressAutoHyphens/>
        <w:jc w:val="both"/>
        <w:rPr>
          <w:rFonts w:eastAsia="Times New Roman"/>
          <w:lang w:eastAsia="ar-SA"/>
        </w:rPr>
      </w:pPr>
    </w:p>
    <w:p w:rsidR="00476BFD" w:rsidRDefault="001C7F4E" w:rsidP="00FA2645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>*******************</w:t>
      </w:r>
    </w:p>
    <w:p w:rsidR="00476BFD" w:rsidRDefault="00476BFD" w:rsidP="00476BFD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b/>
          <w:spacing w:val="-2"/>
          <w:u w:val="single"/>
        </w:rPr>
      </w:pPr>
      <w:r w:rsidRPr="006F6161">
        <w:rPr>
          <w:rFonts w:ascii="Arial Narrow" w:hAnsi="Arial Narrow"/>
          <w:b/>
          <w:spacing w:val="-2"/>
          <w:u w:val="single"/>
        </w:rPr>
        <w:t>Brief Scope of Work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r w:rsidR="00224F1E">
        <w:rPr>
          <w:rFonts w:ascii="Arial Narrow" w:hAnsi="Arial Narrow"/>
          <w:b/>
          <w:spacing w:val="-2"/>
          <w:u w:val="single"/>
        </w:rPr>
        <w:t>for</w:t>
      </w:r>
      <w:r>
        <w:rPr>
          <w:rFonts w:ascii="Arial Narrow" w:hAnsi="Arial Narrow"/>
          <w:b/>
          <w:spacing w:val="-2"/>
          <w:u w:val="single"/>
        </w:rPr>
        <w:t xml:space="preserve"> </w:t>
      </w:r>
      <w:r w:rsidR="00320B07" w:rsidRPr="00320B07">
        <w:rPr>
          <w:rFonts w:ascii="Arial Narrow" w:hAnsi="Arial Narrow"/>
          <w:b/>
          <w:szCs w:val="24"/>
          <w:u w:val="single"/>
        </w:rPr>
        <w:t>Development services for PaaS Mendix</w:t>
      </w:r>
      <w:r w:rsidR="00320B07" w:rsidRPr="004B7BFD">
        <w:rPr>
          <w:rFonts w:ascii="Arial Narrow" w:hAnsi="Arial Narrow"/>
          <w:b/>
          <w:szCs w:val="24"/>
          <w:u w:val="single"/>
        </w:rPr>
        <w:t xml:space="preserve"> </w:t>
      </w:r>
    </w:p>
    <w:p w:rsidR="004C5A7D" w:rsidRDefault="004C5A7D" w:rsidP="004C5A7D">
      <w:pPr>
        <w:pStyle w:val="Default"/>
        <w:jc w:val="both"/>
        <w:rPr>
          <w:color w:val="auto"/>
          <w:sz w:val="22"/>
          <w:szCs w:val="22"/>
        </w:rPr>
      </w:pPr>
    </w:p>
    <w:p w:rsidR="00320B07" w:rsidRDefault="00320B07" w:rsidP="00320B07">
      <w:r w:rsidRPr="00320B07">
        <w:rPr>
          <w:rFonts w:ascii="Arial Narrow" w:hAnsi="Arial Narrow"/>
          <w:spacing w:val="-2"/>
        </w:rPr>
        <w:t>Within the Office of the Prosecutor</w:t>
      </w:r>
      <w:r w:rsidR="002C5859">
        <w:rPr>
          <w:rFonts w:ascii="Arial Narrow" w:hAnsi="Arial Narrow"/>
          <w:spacing w:val="-2"/>
        </w:rPr>
        <w:t xml:space="preserve"> in</w:t>
      </w:r>
      <w:bookmarkStart w:id="0" w:name="_GoBack"/>
      <w:bookmarkEnd w:id="0"/>
      <w:r w:rsidRPr="00320B07">
        <w:rPr>
          <w:rFonts w:ascii="Arial Narrow" w:hAnsi="Arial Narrow"/>
          <w:spacing w:val="-2"/>
        </w:rPr>
        <w:t xml:space="preserve"> </w:t>
      </w:r>
      <w:r w:rsidR="002C5859">
        <w:rPr>
          <w:rFonts w:ascii="Arial Narrow" w:hAnsi="Arial Narrow"/>
          <w:spacing w:val="-2"/>
        </w:rPr>
        <w:t xml:space="preserve">the International Criminal Court, </w:t>
      </w:r>
      <w:r w:rsidRPr="00320B07">
        <w:rPr>
          <w:rFonts w:ascii="Arial Narrow" w:hAnsi="Arial Narrow"/>
          <w:spacing w:val="-2"/>
        </w:rPr>
        <w:t>applications based on the Mendix platform require functionality additions to support business functions for which product backlogs are maintained</w:t>
      </w:r>
      <w:r>
        <w:t>.</w:t>
      </w:r>
      <w:bookmarkStart w:id="1" w:name="_Toc112311786"/>
    </w:p>
    <w:p w:rsidR="00320B07" w:rsidRDefault="00320B07" w:rsidP="00320B07"/>
    <w:p w:rsidR="00320B07" w:rsidRPr="00320B07" w:rsidRDefault="00320B07" w:rsidP="00320B07">
      <w:pPr>
        <w:rPr>
          <w:rFonts w:ascii="Arial Narrow" w:hAnsi="Arial Narrow"/>
          <w:b/>
          <w:bCs/>
          <w:spacing w:val="-2"/>
        </w:rPr>
      </w:pPr>
      <w:r>
        <w:rPr>
          <w:rFonts w:ascii="Arial Narrow" w:hAnsi="Arial Narrow"/>
          <w:b/>
          <w:bCs/>
          <w:spacing w:val="-2"/>
        </w:rPr>
        <w:t>S</w:t>
      </w:r>
      <w:r w:rsidRPr="00320B07">
        <w:rPr>
          <w:rFonts w:ascii="Arial Narrow" w:hAnsi="Arial Narrow"/>
          <w:b/>
          <w:bCs/>
          <w:spacing w:val="-2"/>
        </w:rPr>
        <w:t>tatement of Work (Range of Services)</w:t>
      </w:r>
      <w:bookmarkEnd w:id="1"/>
    </w:p>
    <w:p w:rsidR="00320B07" w:rsidRPr="00320B07" w:rsidRDefault="00320B07" w:rsidP="00320B07">
      <w:pPr>
        <w:ind w:left="360"/>
        <w:rPr>
          <w:rFonts w:ascii="Arial Narrow" w:hAnsi="Arial Narrow"/>
          <w:spacing w:val="-2"/>
        </w:rPr>
      </w:pPr>
      <w:r w:rsidRPr="00320B07">
        <w:rPr>
          <w:rFonts w:ascii="Arial Narrow" w:hAnsi="Arial Narrow"/>
          <w:b/>
          <w:spacing w:val="-2"/>
        </w:rPr>
        <w:t>The required services</w:t>
      </w:r>
      <w:r w:rsidRPr="00320B07">
        <w:rPr>
          <w:rFonts w:ascii="Arial Narrow" w:hAnsi="Arial Narrow"/>
          <w:spacing w:val="-2"/>
        </w:rPr>
        <w:t xml:space="preserve"> are, but not limited to</w:t>
      </w:r>
      <w:r>
        <w:rPr>
          <w:rFonts w:ascii="Arial Narrow" w:hAnsi="Arial Narrow"/>
          <w:spacing w:val="-2"/>
        </w:rPr>
        <w:t>,</w:t>
      </w:r>
      <w:r w:rsidRPr="00320B07">
        <w:rPr>
          <w:rFonts w:ascii="Arial Narrow" w:hAnsi="Arial Narrow"/>
          <w:spacing w:val="-2"/>
        </w:rPr>
        <w:t xml:space="preserve"> the following: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Software Architecture design;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Integration Architecture design;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Delivery of Mendix functionality (DevOps);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Process design;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Design functionality;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 xml:space="preserve">Develop functionality; 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Deploy functionality;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Support functionality;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Support rollout of functionality;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Document functionality;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Test functionality;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Operations of Mendix functionality (Ops);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Data migration;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Azure consulting (design);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Infrastructure;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Networking;</w:t>
      </w:r>
    </w:p>
    <w:p w:rsidR="00320B07" w:rsidRPr="00320B07" w:rsidRDefault="00320B07" w:rsidP="00320B07">
      <w:pPr>
        <w:pStyle w:val="ListParagraph"/>
        <w:numPr>
          <w:ilvl w:val="1"/>
          <w:numId w:val="31"/>
        </w:numPr>
        <w:spacing w:after="200" w:line="276" w:lineRule="auto"/>
        <w:ind w:left="180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Security;</w:t>
      </w:r>
    </w:p>
    <w:p w:rsidR="00320B07" w:rsidRPr="00320B07" w:rsidRDefault="00320B07" w:rsidP="00320B07">
      <w:pPr>
        <w:pStyle w:val="ListParagraph"/>
        <w:numPr>
          <w:ilvl w:val="0"/>
          <w:numId w:val="31"/>
        </w:numPr>
        <w:spacing w:after="200" w:line="276" w:lineRule="auto"/>
        <w:ind w:left="1080"/>
        <w:contextualSpacing/>
        <w:jc w:val="both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320B07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Handover (functional and technical) of functionality.</w:t>
      </w:r>
    </w:p>
    <w:p w:rsidR="00320B07" w:rsidRPr="00320B07" w:rsidRDefault="00320B07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lastRenderedPageBreak/>
        <w:t>The focus is primarily on Mendix where Azure consulting is expected to be an infrequent topic.</w:t>
      </w:r>
    </w:p>
    <w:p w:rsidR="00320B07" w:rsidRDefault="00320B07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The development of functionality will follow the agile development methodology. </w:t>
      </w: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In addition to the</w:t>
      </w:r>
    </w:p>
    <w:p w:rsidR="00320B07" w:rsidRDefault="00320B07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requirements, the ask is for additional development capacity of 300 hours.</w:t>
      </w:r>
    </w:p>
    <w:p w:rsidR="00320B07" w:rsidRDefault="00320B07" w:rsidP="00320B07">
      <w:pPr>
        <w:pStyle w:val="Heading1"/>
        <w:keepNext w:val="0"/>
        <w:spacing w:before="480" w:after="0" w:line="276" w:lineRule="auto"/>
        <w:ind w:left="864" w:hanging="432"/>
        <w:contextualSpacing/>
        <w:jc w:val="both"/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</w:pPr>
    </w:p>
    <w:p w:rsidR="00320B07" w:rsidRPr="00320B07" w:rsidRDefault="00320B07" w:rsidP="00320B07">
      <w:pPr>
        <w:pStyle w:val="Heading1"/>
        <w:keepNext w:val="0"/>
        <w:spacing w:before="480" w:after="0" w:line="276" w:lineRule="auto"/>
        <w:ind w:left="864" w:hanging="432"/>
        <w:contextualSpacing/>
        <w:jc w:val="both"/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</w:pPr>
      <w:r w:rsidRPr="00320B07"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  <w:t>Planning</w:t>
      </w:r>
    </w:p>
    <w:p w:rsidR="00320B07" w:rsidRPr="00320B07" w:rsidRDefault="00320B07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Staff placement will take place by means of rolling forecast, meaning:</w:t>
      </w:r>
    </w:p>
    <w:p w:rsidR="00320B07" w:rsidRPr="00320B07" w:rsidRDefault="005C12B8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 *</w:t>
      </w:r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Deployment is planned with a horizon of three months.</w:t>
      </w:r>
    </w:p>
    <w:p w:rsidR="00320B07" w:rsidRDefault="005C12B8" w:rsidP="00320B07">
      <w:pPr>
        <w:pStyle w:val="Heading1"/>
        <w:keepNext w:val="0"/>
        <w:spacing w:before="480" w:after="0" w:line="276" w:lineRule="auto"/>
        <w:ind w:left="864" w:hanging="155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 *</w:t>
      </w:r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Exceptions to this process may occur depending on needs, though depending on availability on supplier side.</w:t>
      </w:r>
    </w:p>
    <w:p w:rsidR="00320B07" w:rsidRDefault="00320B07" w:rsidP="00320B07">
      <w:pPr>
        <w:pStyle w:val="Heading1"/>
        <w:keepNext w:val="0"/>
        <w:spacing w:before="480" w:after="0" w:line="276" w:lineRule="auto"/>
        <w:ind w:left="864" w:hanging="432"/>
        <w:contextualSpacing/>
        <w:jc w:val="both"/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</w:pPr>
    </w:p>
    <w:p w:rsidR="00320B07" w:rsidRPr="00320B07" w:rsidRDefault="00320B07" w:rsidP="00320B07">
      <w:pPr>
        <w:pStyle w:val="Heading1"/>
        <w:keepNext w:val="0"/>
        <w:spacing w:before="480" w:after="0" w:line="276" w:lineRule="auto"/>
        <w:ind w:left="864" w:hanging="432"/>
        <w:contextualSpacing/>
        <w:jc w:val="both"/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</w:pPr>
      <w:proofErr w:type="spellStart"/>
      <w:r w:rsidRPr="00320B07"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  <w:t>Onboarding</w:t>
      </w:r>
      <w:proofErr w:type="spellEnd"/>
      <w:r w:rsidRPr="00320B07">
        <w:rPr>
          <w:rFonts w:ascii="Arial Narrow" w:eastAsia="MS Mincho" w:hAnsi="Arial Narrow"/>
          <w:bCs w:val="0"/>
          <w:spacing w:val="-2"/>
          <w:kern w:val="0"/>
          <w:sz w:val="24"/>
          <w:szCs w:val="20"/>
        </w:rPr>
        <w:t xml:space="preserve"> &amp; retention</w:t>
      </w:r>
    </w:p>
    <w:p w:rsidR="00320B07" w:rsidRPr="00320B07" w:rsidRDefault="005C12B8" w:rsidP="005C12B8">
      <w:pPr>
        <w:pStyle w:val="Heading1"/>
        <w:keepNext w:val="0"/>
        <w:spacing w:before="480" w:after="0" w:line="276" w:lineRule="auto"/>
        <w:ind w:left="851" w:hanging="142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*</w:t>
      </w:r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Preference is given to staff with organisational awareness to avoid delays as a consequence of </w:t>
      </w: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 </w:t>
      </w:r>
      <w:proofErr w:type="spellStart"/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onboarding</w:t>
      </w:r>
      <w:proofErr w:type="spellEnd"/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.</w:t>
      </w:r>
    </w:p>
    <w:p w:rsidR="00320B07" w:rsidRPr="00320B07" w:rsidRDefault="005C12B8" w:rsidP="005C12B8">
      <w:pPr>
        <w:pStyle w:val="Heading1"/>
        <w:keepNext w:val="0"/>
        <w:spacing w:before="480" w:after="0" w:line="276" w:lineRule="auto"/>
        <w:ind w:left="851" w:hanging="142"/>
        <w:contextualSpacing/>
        <w:jc w:val="both"/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</w:pPr>
      <w:r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*</w:t>
      </w:r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Staff members to be deployed are to be approved (assessed on skillset and</w:t>
      </w:r>
      <w:r w:rsid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 xml:space="preserve"> organisational fit) by the ICC </w:t>
      </w:r>
      <w:r w:rsidR="00320B07" w:rsidRPr="00320B07">
        <w:rPr>
          <w:rFonts w:ascii="Arial Narrow" w:eastAsia="MS Mincho" w:hAnsi="Arial Narrow"/>
          <w:b w:val="0"/>
          <w:bCs w:val="0"/>
          <w:spacing w:val="-2"/>
          <w:kern w:val="0"/>
          <w:sz w:val="24"/>
          <w:szCs w:val="20"/>
        </w:rPr>
        <w:t>contract manager before deployment.</w:t>
      </w:r>
    </w:p>
    <w:p w:rsidR="00320B07" w:rsidRPr="00320B07" w:rsidRDefault="00320B07" w:rsidP="00320B07">
      <w:pPr>
        <w:rPr>
          <w:lang w:val="nl-NL"/>
        </w:rPr>
      </w:pPr>
    </w:p>
    <w:p w:rsidR="00476BFD" w:rsidRDefault="001C7F4E" w:rsidP="0022327E">
      <w:pPr>
        <w:pStyle w:val="Bullet"/>
        <w:numPr>
          <w:ilvl w:val="0"/>
          <w:numId w:val="0"/>
        </w:numPr>
        <w:jc w:val="both"/>
        <w:rPr>
          <w:rFonts w:ascii="Arial Narrow" w:eastAsia="MS Mincho" w:hAnsi="Arial Narrow"/>
          <w:spacing w:val="-2"/>
          <w:sz w:val="24"/>
          <w:szCs w:val="20"/>
        </w:rPr>
      </w:pPr>
      <w:r>
        <w:rPr>
          <w:rFonts w:ascii="Arial Narrow" w:eastAsia="MS Mincho" w:hAnsi="Arial Narrow"/>
          <w:spacing w:val="-2"/>
          <w:sz w:val="24"/>
          <w:szCs w:val="20"/>
        </w:rPr>
        <w:t>*******************</w:t>
      </w:r>
    </w:p>
    <w:p w:rsidR="005C12B8" w:rsidRDefault="005C12B8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2869A2" w:rsidRPr="004E015B">
          <w:rPr>
            <w:rStyle w:val="Hyperlink"/>
            <w:rFonts w:ascii="Arial Narrow" w:hAnsi="Arial Narrow" w:hint="eastAsia"/>
            <w:spacing w:val="-2"/>
            <w:lang w:eastAsia="ja-JP"/>
          </w:rPr>
          <w:t>Tender.2</w:t>
        </w:r>
        <w:r w:rsidR="002869A2" w:rsidRPr="004E015B">
          <w:rPr>
            <w:rStyle w:val="Hyperlink"/>
            <w:rFonts w:ascii="Arial Narrow" w:hAnsi="Arial Narrow"/>
            <w:spacing w:val="-2"/>
          </w:rPr>
          <w:t>@icc-cpi.int</w:t>
        </w:r>
      </w:hyperlink>
    </w:p>
    <w:p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FE036C">
        <w:rPr>
          <w:rFonts w:ascii="Arial Narrow" w:hAnsi="Arial Narrow"/>
          <w:spacing w:val="-2"/>
        </w:rPr>
        <w:t>3</w:t>
      </w:r>
      <w:r>
        <w:rPr>
          <w:rFonts w:ascii="Arial Narrow" w:hAnsi="Arial Narrow"/>
          <w:spacing w:val="-2"/>
        </w:rPr>
        <w:t>).</w:t>
      </w:r>
    </w:p>
    <w:p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:rsidR="0022327E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</w:p>
    <w:p w:rsidR="0022327E" w:rsidRDefault="0022327E" w:rsidP="0022327E">
      <w:pPr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:rsidR="00A60316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:rsidR="00FE036C" w:rsidRDefault="00FE036C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4B7BFD">
        <w:rPr>
          <w:rFonts w:ascii="Arial Narrow" w:hAnsi="Arial Narrow"/>
          <w:b/>
          <w:sz w:val="22"/>
          <w:u w:val="single"/>
        </w:rPr>
        <w:t>30</w:t>
      </w:r>
      <w:r w:rsidR="000E5019">
        <w:rPr>
          <w:rFonts w:ascii="Arial Narrow" w:hAnsi="Arial Narrow"/>
          <w:b/>
          <w:sz w:val="22"/>
          <w:u w:val="single"/>
        </w:rPr>
        <w:t>568</w:t>
      </w:r>
    </w:p>
    <w:p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:rsidR="00C912C7" w:rsidRPr="000A28B4" w:rsidRDefault="000E5019" w:rsidP="00C912C7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  <w:lang w:eastAsia="ja-JP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Pr="000261C0">
        <w:rPr>
          <w:rFonts w:ascii="Arial Narrow" w:hAnsi="Arial Narrow"/>
          <w:szCs w:val="24"/>
        </w:rPr>
        <w:t>Development services for PaaS Mendix</w:t>
      </w:r>
    </w:p>
    <w:p w:rsidR="00D45D64" w:rsidRDefault="00D45D64" w:rsidP="00D45D64">
      <w:pPr>
        <w:ind w:firstLine="567"/>
        <w:jc w:val="center"/>
        <w:rPr>
          <w:rFonts w:ascii="Arial Narrow" w:hAnsi="Arial Narrow"/>
          <w:sz w:val="22"/>
        </w:rPr>
      </w:pPr>
    </w:p>
    <w:p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4B7BFD">
        <w:rPr>
          <w:rFonts w:ascii="Arial Narrow" w:hAnsi="Arial Narrow"/>
          <w:lang w:val="en-GB"/>
        </w:rPr>
        <w:t>30</w:t>
      </w:r>
      <w:r w:rsidR="000E5019">
        <w:rPr>
          <w:rFonts w:ascii="Arial Narrow" w:hAnsi="Arial Narrow"/>
          <w:lang w:val="en-GB"/>
        </w:rPr>
        <w:t>568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16" w:rsidRDefault="00A60316">
      <w:r>
        <w:separator/>
      </w:r>
    </w:p>
  </w:endnote>
  <w:endnote w:type="continuationSeparator" w:id="0">
    <w:p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5859">
      <w:rPr>
        <w:rStyle w:val="PageNumber"/>
        <w:noProof/>
      </w:rPr>
      <w:t>3</w:t>
    </w:r>
    <w:r>
      <w:rPr>
        <w:rStyle w:val="PageNumber"/>
      </w:rPr>
      <w:fldChar w:fldCharType="end"/>
    </w:r>
  </w:p>
  <w:p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16" w:rsidRDefault="00A60316">
      <w:r>
        <w:separator/>
      </w:r>
    </w:p>
  </w:footnote>
  <w:footnote w:type="continuationSeparator" w:id="0">
    <w:p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C00045"/>
    <w:multiLevelType w:val="hybridMultilevel"/>
    <w:tmpl w:val="F018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372F09"/>
    <w:multiLevelType w:val="hybridMultilevel"/>
    <w:tmpl w:val="40320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6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C965E9F"/>
    <w:multiLevelType w:val="multilevel"/>
    <w:tmpl w:val="72DE13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CB5CE7"/>
    <w:multiLevelType w:val="hybridMultilevel"/>
    <w:tmpl w:val="B7D8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3"/>
  </w:num>
  <w:num w:numId="4">
    <w:abstractNumId w:val="0"/>
  </w:num>
  <w:num w:numId="5">
    <w:abstractNumId w:val="15"/>
  </w:num>
  <w:num w:numId="6">
    <w:abstractNumId w:val="22"/>
  </w:num>
  <w:num w:numId="7">
    <w:abstractNumId w:val="2"/>
  </w:num>
  <w:num w:numId="8">
    <w:abstractNumId w:val="20"/>
    <w:lvlOverride w:ilvl="0">
      <w:startOverride w:val="5"/>
    </w:lvlOverride>
  </w:num>
  <w:num w:numId="9">
    <w:abstractNumId w:val="28"/>
  </w:num>
  <w:num w:numId="10">
    <w:abstractNumId w:val="17"/>
  </w:num>
  <w:num w:numId="11">
    <w:abstractNumId w:val="16"/>
  </w:num>
  <w:num w:numId="12">
    <w:abstractNumId w:val="14"/>
  </w:num>
  <w:num w:numId="13">
    <w:abstractNumId w:val="21"/>
  </w:num>
  <w:num w:numId="14">
    <w:abstractNumId w:val="24"/>
  </w:num>
  <w:num w:numId="15">
    <w:abstractNumId w:val="7"/>
  </w:num>
  <w:num w:numId="16">
    <w:abstractNumId w:val="25"/>
  </w:num>
  <w:num w:numId="17">
    <w:abstractNumId w:val="8"/>
  </w:num>
  <w:num w:numId="18">
    <w:abstractNumId w:val="1"/>
  </w:num>
  <w:num w:numId="19">
    <w:abstractNumId w:val="4"/>
  </w:num>
  <w:num w:numId="20">
    <w:abstractNumId w:val="11"/>
  </w:num>
  <w:num w:numId="21">
    <w:abstractNumId w:val="13"/>
  </w:num>
  <w:num w:numId="22">
    <w:abstractNumId w:val="10"/>
  </w:num>
  <w:num w:numId="23">
    <w:abstractNumId w:val="5"/>
  </w:num>
  <w:num w:numId="24">
    <w:abstractNumId w:val="18"/>
  </w:num>
  <w:num w:numId="25">
    <w:abstractNumId w:val="27"/>
  </w:num>
  <w:num w:numId="26">
    <w:abstractNumId w:val="31"/>
  </w:num>
  <w:num w:numId="27">
    <w:abstractNumId w:val="19"/>
  </w:num>
  <w:num w:numId="28">
    <w:abstractNumId w:val="6"/>
  </w:num>
  <w:num w:numId="29">
    <w:abstractNumId w:val="29"/>
  </w:num>
  <w:num w:numId="30">
    <w:abstractNumId w:val="23"/>
  </w:num>
  <w:num w:numId="31">
    <w:abstractNumId w:val="12"/>
  </w:num>
  <w:num w:numId="32">
    <w:abstractNumId w:val="3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10"/>
    <w:rsid w:val="0000757D"/>
    <w:rsid w:val="000141B0"/>
    <w:rsid w:val="00023793"/>
    <w:rsid w:val="00023F00"/>
    <w:rsid w:val="000261C0"/>
    <w:rsid w:val="0003637D"/>
    <w:rsid w:val="00036DDB"/>
    <w:rsid w:val="00037C9B"/>
    <w:rsid w:val="00041973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7180"/>
    <w:rsid w:val="000C6B81"/>
    <w:rsid w:val="000C7529"/>
    <w:rsid w:val="000D6CF5"/>
    <w:rsid w:val="000E5019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C5859"/>
    <w:rsid w:val="002D4366"/>
    <w:rsid w:val="002D4CE3"/>
    <w:rsid w:val="002D52C6"/>
    <w:rsid w:val="002F6CF7"/>
    <w:rsid w:val="00302732"/>
    <w:rsid w:val="00310E26"/>
    <w:rsid w:val="003133C7"/>
    <w:rsid w:val="00320B0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A04A1"/>
    <w:rsid w:val="004A3465"/>
    <w:rsid w:val="004A3673"/>
    <w:rsid w:val="004A4DC7"/>
    <w:rsid w:val="004B24FC"/>
    <w:rsid w:val="004B7BFD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6511"/>
    <w:rsid w:val="005B7D1D"/>
    <w:rsid w:val="005C12B8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97D95"/>
    <w:rsid w:val="008A2442"/>
    <w:rsid w:val="008B02E3"/>
    <w:rsid w:val="008C1B45"/>
    <w:rsid w:val="008C751B"/>
    <w:rsid w:val="008E3704"/>
    <w:rsid w:val="00906524"/>
    <w:rsid w:val="009205B6"/>
    <w:rsid w:val="0094284B"/>
    <w:rsid w:val="00953696"/>
    <w:rsid w:val="00961EAB"/>
    <w:rsid w:val="0097497F"/>
    <w:rsid w:val="009943F1"/>
    <w:rsid w:val="009A6C3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B2BFA"/>
    <w:rsid w:val="00BD3219"/>
    <w:rsid w:val="00BE2EFA"/>
    <w:rsid w:val="00BF0E3F"/>
    <w:rsid w:val="00C002E1"/>
    <w:rsid w:val="00C0435C"/>
    <w:rsid w:val="00C10BA8"/>
    <w:rsid w:val="00C11813"/>
    <w:rsid w:val="00C17A0F"/>
    <w:rsid w:val="00C2433C"/>
    <w:rsid w:val="00C26CB0"/>
    <w:rsid w:val="00C43867"/>
    <w:rsid w:val="00C43E73"/>
    <w:rsid w:val="00C502BB"/>
    <w:rsid w:val="00C540ED"/>
    <w:rsid w:val="00C6649F"/>
    <w:rsid w:val="00C678B8"/>
    <w:rsid w:val="00C7388D"/>
    <w:rsid w:val="00C753C5"/>
    <w:rsid w:val="00C759FD"/>
    <w:rsid w:val="00C912C7"/>
    <w:rsid w:val="00C95B4E"/>
    <w:rsid w:val="00CA6BEF"/>
    <w:rsid w:val="00CC7D94"/>
    <w:rsid w:val="00CD0471"/>
    <w:rsid w:val="00CF28DC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82D72"/>
    <w:rsid w:val="00D9533C"/>
    <w:rsid w:val="00D95F9F"/>
    <w:rsid w:val="00DA13ED"/>
    <w:rsid w:val="00DA60E8"/>
    <w:rsid w:val="00DB48E0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C2F6A"/>
    <w:rsid w:val="00EC6136"/>
    <w:rsid w:val="00ED6E76"/>
    <w:rsid w:val="00ED7C58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A568D"/>
    <w:rsid w:val="00FB2360"/>
    <w:rsid w:val="00FB41BA"/>
    <w:rsid w:val="00FB4E4D"/>
    <w:rsid w:val="00FC203C"/>
    <w:rsid w:val="00FD73F7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8D54C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2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55D3-CD2C-48BE-B28A-8E1E5AA9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3462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3944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Nakamura, Kazumi</cp:lastModifiedBy>
  <cp:revision>5</cp:revision>
  <cp:lastPrinted>2007-05-04T09:09:00Z</cp:lastPrinted>
  <dcterms:created xsi:type="dcterms:W3CDTF">2022-11-23T10:23:00Z</dcterms:created>
  <dcterms:modified xsi:type="dcterms:W3CDTF">2022-11-23T10:26:00Z</dcterms:modified>
</cp:coreProperties>
</file>